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6B2BE2" w:rsidRDefault="00575CF3" w:rsidP="00575CF3">
      <w:pPr>
        <w:pStyle w:val="1"/>
        <w:spacing w:before="0" w:after="0"/>
        <w:jc w:val="right"/>
        <w:rPr>
          <w:rFonts w:ascii="Times New Roman" w:hAnsi="Times New Roman"/>
          <w:b w:val="0"/>
          <w:noProof/>
          <w:color w:val="FF0000"/>
          <w:sz w:val="24"/>
          <w:szCs w:val="24"/>
        </w:rPr>
      </w:pPr>
      <w:r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П Р О Є К Т </w:t>
      </w:r>
    </w:p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1E493F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FF5EFE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________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 w:rsidRPr="006B2BE2">
        <w:rPr>
          <w:rFonts w:ascii="Times New Roman" w:hAnsi="Times New Roman"/>
          <w:sz w:val="24"/>
          <w:szCs w:val="24"/>
        </w:rPr>
        <w:t>______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 w:rsidR="001E493F">
        <w:rPr>
          <w:rFonts w:ascii="Times New Roman" w:hAnsi="Times New Roman"/>
          <w:sz w:val="24"/>
          <w:szCs w:val="24"/>
        </w:rPr>
        <w:t>8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1E493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FF5EFE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bookmarkStart w:id="0" w:name="_GoBack"/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</w:t>
      </w:r>
      <w:r w:rsidR="001E493F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начальника 15 мобільного  прикордонного загону  полковника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та </w:t>
      </w:r>
      <w:r w:rsidR="001E493F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коменданта  другої прикордонної  комендатури  швидкого реагування  15 мобільного прикордонного загону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військов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ої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частин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и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№ А</w:t>
      </w:r>
      <w:r w:rsidR="001E493F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1551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щодо передачі 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матеріальних цінностей (технічні засоби), що забезпечать  ефективність виконання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підрозділами бойових завдань</w:t>
      </w: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підвищення обороноздатності нашої держави</w:t>
      </w:r>
      <w:bookmarkEnd w:id="0"/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військовій частині А</w:t>
      </w:r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>1551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матеріальні цінності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42547C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________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військовій частині А</w:t>
      </w:r>
      <w:r w:rsidR="001E493F">
        <w:rPr>
          <w:rFonts w:ascii="Times New Roman" w:hAnsi="Times New Roman" w:cs="Times New Roman"/>
          <w:b/>
          <w:bCs/>
          <w:sz w:val="26"/>
          <w:szCs w:val="26"/>
          <w:lang w:val="uk-UA"/>
        </w:rPr>
        <w:t>1551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2693"/>
      </w:tblGrid>
      <w:tr w:rsidR="001E493F" w:rsidRPr="001E493F" w:rsidTr="00B75F8B">
        <w:tc>
          <w:tcPr>
            <w:tcW w:w="568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27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Од.</w:t>
            </w:r>
          </w:p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Вартість, грн.</w:t>
            </w:r>
          </w:p>
        </w:tc>
      </w:tr>
      <w:tr w:rsidR="001E493F" w:rsidRPr="001E493F" w:rsidTr="00B75F8B">
        <w:trPr>
          <w:trHeight w:val="554"/>
        </w:trPr>
        <w:tc>
          <w:tcPr>
            <w:tcW w:w="568" w:type="dxa"/>
            <w:vAlign w:val="center"/>
          </w:tcPr>
          <w:p w:rsidR="001E493F" w:rsidRPr="001E493F" w:rsidRDefault="001E493F" w:rsidP="00B75F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  <w:vAlign w:val="center"/>
          </w:tcPr>
          <w:p w:rsidR="001E493F" w:rsidRPr="001E493F" w:rsidRDefault="001E493F" w:rsidP="00B75F8B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r w:rsidRPr="001E493F">
              <w:rPr>
                <w:color w:val="000000"/>
                <w:lang w:val="uk-UA"/>
              </w:rPr>
              <w:t xml:space="preserve">Автомобільний акумулятор </w:t>
            </w:r>
            <w:proofErr w:type="spellStart"/>
            <w:r w:rsidRPr="001E493F">
              <w:rPr>
                <w:color w:val="000000"/>
                <w:lang w:val="uk-UA"/>
              </w:rPr>
              <w:t>Bosch</w:t>
            </w:r>
            <w:proofErr w:type="spellEnd"/>
            <w:r w:rsidRPr="001E493F">
              <w:rPr>
                <w:color w:val="000000"/>
                <w:lang w:val="uk-UA"/>
              </w:rPr>
              <w:t xml:space="preserve"> 6CT-80 H (S4010)</w:t>
            </w:r>
          </w:p>
          <w:p w:rsidR="001E493F" w:rsidRPr="001E493F" w:rsidRDefault="001E493F" w:rsidP="00B75F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93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10200,00</w:t>
            </w:r>
          </w:p>
        </w:tc>
      </w:tr>
      <w:tr w:rsidR="001E493F" w:rsidRPr="001E493F" w:rsidTr="00B75F8B">
        <w:trPr>
          <w:trHeight w:val="554"/>
        </w:trPr>
        <w:tc>
          <w:tcPr>
            <w:tcW w:w="568" w:type="dxa"/>
            <w:vAlign w:val="center"/>
          </w:tcPr>
          <w:p w:rsidR="001E493F" w:rsidRPr="001E493F" w:rsidRDefault="001E493F" w:rsidP="00B75F8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  <w:vAlign w:val="center"/>
          </w:tcPr>
          <w:p w:rsidR="001E493F" w:rsidRPr="001E493F" w:rsidRDefault="001E493F" w:rsidP="00B75F8B">
            <w:pPr>
              <w:pStyle w:val="docdata"/>
              <w:spacing w:before="0" w:beforeAutospacing="0" w:after="0" w:afterAutospacing="0"/>
              <w:jc w:val="center"/>
              <w:rPr>
                <w:lang w:val="uk-UA"/>
              </w:rPr>
            </w:pPr>
            <w:r w:rsidRPr="001E493F">
              <w:rPr>
                <w:color w:val="000000"/>
                <w:lang w:val="uk-UA"/>
              </w:rPr>
              <w:t xml:space="preserve">Джерело безперебійного живлення </w:t>
            </w:r>
            <w:proofErr w:type="spellStart"/>
            <w:r w:rsidRPr="001E493F">
              <w:rPr>
                <w:color w:val="000000"/>
                <w:lang w:val="uk-UA"/>
              </w:rPr>
              <w:t>LogscPower</w:t>
            </w:r>
            <w:proofErr w:type="spellEnd"/>
            <w:r w:rsidRPr="001E493F">
              <w:rPr>
                <w:color w:val="000000"/>
                <w:lang w:val="uk-UA"/>
              </w:rPr>
              <w:t xml:space="preserve"> LPY-W-PSW-2000VA+(1400Вт)10А/20А, Lin.int. AVR, 2-х євро, метал, настінний</w:t>
            </w:r>
          </w:p>
          <w:p w:rsidR="001E493F" w:rsidRPr="001E493F" w:rsidRDefault="001E493F" w:rsidP="00B75F8B">
            <w:pPr>
              <w:pStyle w:val="docdata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93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22440,00</w:t>
            </w:r>
          </w:p>
        </w:tc>
      </w:tr>
      <w:tr w:rsidR="001E493F" w:rsidRPr="001E493F" w:rsidTr="00B75F8B">
        <w:trPr>
          <w:trHeight w:val="620"/>
        </w:trPr>
        <w:tc>
          <w:tcPr>
            <w:tcW w:w="568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1E493F" w:rsidRPr="001E493F" w:rsidRDefault="001E493F" w:rsidP="00B75F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92" w:type="dxa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1E493F" w:rsidRPr="001E493F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493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32640,00</w:t>
            </w:r>
          </w:p>
        </w:tc>
      </w:tr>
    </w:tbl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1E493F">
        <w:rPr>
          <w:rFonts w:ascii="Times New Roman" w:hAnsi="Times New Roman"/>
          <w:b/>
          <w:sz w:val="24"/>
          <w:szCs w:val="24"/>
          <w:lang w:val="uk-UA"/>
        </w:rPr>
        <w:t xml:space="preserve">тридцять дві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1E493F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E493F">
        <w:rPr>
          <w:rFonts w:ascii="Times New Roman" w:hAnsi="Times New Roman"/>
          <w:b/>
          <w:sz w:val="24"/>
          <w:szCs w:val="24"/>
          <w:lang w:val="uk-UA"/>
        </w:rPr>
        <w:t xml:space="preserve">шістсот сорок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1E493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547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5730F"/>
    <w:rsid w:val="00575CF3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625,baiaagaaboqcaaadkgqaaawgbaaaaaaaaaaaaaaaaaaaaaaaaaaaaaaaaaaaaaaaaaaaaaaaaaaaaaaaaaaaaaaaaaaaaaaaaaaaaaaaaaaaaaaaaaaaaaaaaaaaaaaaaaaaaaaaaaaaaaaaaaaaaaaaaaaaaaaaaaaaaaaaaaaaaaaaaaaaaaaaaaaaaaaaaaaaaaaaaaaaaaaaaaaaaaaaaaaaaaaaaaaaaaaa"/>
    <w:basedOn w:val="a"/>
    <w:rsid w:val="001E4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42</cp:revision>
  <cp:lastPrinted>2023-09-21T06:01:00Z</cp:lastPrinted>
  <dcterms:created xsi:type="dcterms:W3CDTF">2023-05-11T08:39:00Z</dcterms:created>
  <dcterms:modified xsi:type="dcterms:W3CDTF">2023-09-21T06:03:00Z</dcterms:modified>
</cp:coreProperties>
</file>